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0B070" w14:textId="1EB03CB5" w:rsidR="007E7510" w:rsidRDefault="002E6EC9">
      <w:pPr>
        <w:pStyle w:val="P68B1DB1-Normale1"/>
        <w:pBdr>
          <w:top w:val="nil"/>
          <w:left w:val="nil"/>
          <w:bottom w:val="nil"/>
          <w:right w:val="nil"/>
          <w:between w:val="nil"/>
          <w:bar w:val="nil"/>
        </w:pBdr>
        <w:spacing w:after="0" w:line="240" w:lineRule="auto"/>
        <w:ind w:left="1702" w:firstLine="708"/>
        <w:jc w:val="both"/>
      </w:pPr>
      <w:r>
        <w:t>Communiqué de presse n° 18</w:t>
      </w:r>
    </w:p>
    <w:p w14:paraId="5F951209" w14:textId="56D757E9" w:rsidR="007E7510" w:rsidRDefault="002E6EC9">
      <w:pPr>
        <w:pStyle w:val="P68B1DB1-Normale2"/>
        <w:ind w:left="2410"/>
        <w:jc w:val="both"/>
      </w:pPr>
      <w:r>
        <w:t>Machines agricoles : le marché italien ralentit</w:t>
      </w:r>
    </w:p>
    <w:p w14:paraId="17791ACC" w14:textId="7884E483" w:rsidR="007E7510" w:rsidRDefault="002E6EC9">
      <w:pPr>
        <w:pStyle w:val="P68B1DB1-Normale3"/>
        <w:ind w:left="2410"/>
        <w:jc w:val="both"/>
      </w:pPr>
      <w:r>
        <w:t>Les données sur l’évolution du marché au troisième trimestre ont été diffusées lors de la conférence de présentation d’EIMA 2026. Après les premiers mois de l’année en croissance, les ventes de machines agricoles diminuent entre juillet et septembre. Les v</w:t>
      </w:r>
      <w:r>
        <w:t xml:space="preserve">ariables économiques et géopolitiques pèsent lourd, mais la crise climatique de l'été dernier également. Les </w:t>
      </w:r>
      <w:r w:rsidRPr="002A2E57">
        <w:rPr>
          <w:lang w:val="fr-FR"/>
        </w:rPr>
        <w:t>difficultés conjoncturelles</w:t>
      </w:r>
      <w:r w:rsidR="002A2E57" w:rsidRPr="002A2E57">
        <w:rPr>
          <w:lang w:val="fr-FR"/>
        </w:rPr>
        <w:t xml:space="preserve"> sont</w:t>
      </w:r>
      <w:r w:rsidRPr="002A2E57">
        <w:rPr>
          <w:lang w:val="fr-FR"/>
        </w:rPr>
        <w:t xml:space="preserve"> atténuées</w:t>
      </w:r>
      <w:r>
        <w:t xml:space="preserve"> par le système de subventions de l'État.</w:t>
      </w:r>
    </w:p>
    <w:p w14:paraId="5CC3D1BB" w14:textId="16C1673B" w:rsidR="007E7510" w:rsidRDefault="002E6EC9">
      <w:pPr>
        <w:pStyle w:val="P68B1DB1-Normale4"/>
        <w:ind w:left="2410"/>
        <w:jc w:val="both"/>
      </w:pPr>
      <w:r>
        <w:t>Les données relatives aux ventes de machines agricoles au cours de l</w:t>
      </w:r>
      <w:r>
        <w:t xml:space="preserve">a période allant de janvier à septembre, élaborées par FederUnacoma sur la base des enregistrements fournis par le ministère des Transports, mettent en évidence une tendance irrégulière au cours de l’année. L’année 2026 avait en effet débuté sous le signe </w:t>
      </w:r>
      <w:r>
        <w:t>de la croissance, confirmant la tendance à la hausse de 2025, favorisée par les mesures d’allègement mises en place par le gouvernement, mais les mois suivants ont enregistré un renversement de tendance. L’instabilité géopolitique et la reprise de l’inflat</w:t>
      </w:r>
      <w:r>
        <w:t>ion, associées à la crise climatique qui s’est manifestée à la fin du printemps et en été, ont pénalisé les entreprises agricoles et la propension à investir dans l’achat de nouveaux équipements. C’est l’analyse proposée par Mariateresa Maschio, présidente</w:t>
      </w:r>
      <w:r>
        <w:t xml:space="preserve"> de FederUnacoma (la fédération qui, au sein de Confindustria, regroupe les constructeurs de machines agricoles), lors de la conférence de presse qui a présenté la 47</w:t>
      </w:r>
      <w:r w:rsidRPr="0092110D">
        <w:rPr>
          <w:vertAlign w:val="superscript"/>
        </w:rPr>
        <w:t>e</w:t>
      </w:r>
      <w:r>
        <w:t xml:space="preserve"> édition d’EIMA International. Lors de l’événement, qui s’est déroulé ce matin à Rome au </w:t>
      </w:r>
      <w:r>
        <w:t>MASAF, en présence du ministre Francesco Lollobrigida, du président du CREA, Andrea Rocchi, et de la directrice générale de la Fédération, Simona Rapastella, la présidente Maschio a fait le point sur l’évolution du marché national au troisième trimestre de</w:t>
      </w:r>
      <w:r>
        <w:t xml:space="preserve"> l’année. Elle a souligné que, de juillet à septembre, tous les principaux types de machines ont enregistré une baisse. Par rapport à la même période de 2025, les tracteurs perdent 13,8 %, les moissonneuses-batteuses 37,5 %, les transporteurs 18,2 %, les c</w:t>
      </w:r>
      <w:r>
        <w:t xml:space="preserve">hariots télescopiques 16,2 % et les remorques 5,6 %. La dégradation du scénario se reflète donc dans le bilan global des neuf mois. Entre janvier et septembre, les tracteurs, avec un total de 12 290 unités vendues, ont enregistré une baisse de 3,3 % ; les </w:t>
      </w:r>
      <w:r>
        <w:t>transporteurs de 11,4 % avec 542 véhicules ; les remorques de 6,1 % avec 5 685 véhicules immatriculés. Malgré les fortes baisses estivales, les moissonneuses-batteuses (+12,4 % grâce à 235 unités nouvellement immatriculées) et les chariots télescopiques, q</w:t>
      </w:r>
      <w:r>
        <w:t>ui restent en hausse de 9,3 % avec 916 véhicules, restent dans le vert, même si les augmentations d</w:t>
      </w:r>
      <w:r w:rsidR="00855BA5">
        <w:t>e</w:t>
      </w:r>
      <w:bookmarkStart w:id="0" w:name="_GoBack"/>
      <w:bookmarkEnd w:id="0"/>
      <w:r>
        <w:t xml:space="preserve"> début </w:t>
      </w:r>
      <w:proofErr w:type="spellStart"/>
      <w:r>
        <w:t>d</w:t>
      </w:r>
      <w:r>
        <w:t>'année</w:t>
      </w:r>
      <w:proofErr w:type="spellEnd"/>
      <w:r>
        <w:t xml:space="preserve"> ont été divisées par deux. L’impact de la conjoncture défavorable a toutefois été atténué par le système d’aides publiques qui, comme il a</w:t>
      </w:r>
      <w:r>
        <w:t xml:space="preserve"> été rappelé lors de la conférence de presse, offre un large éventail d’outils (voir, par exemple, le Fonds pour l’innovation de l’ISMEA ou l’appel à projets pour la sécurité de l’INAIL) pour remplacer les anciennes machines par des technologies de nouvell</w:t>
      </w:r>
      <w:r>
        <w:t xml:space="preserve">e génération. </w:t>
      </w:r>
    </w:p>
    <w:p w14:paraId="6074563D" w14:textId="77777777" w:rsidR="007E7510" w:rsidRDefault="007E7510">
      <w:pPr>
        <w:ind w:left="2410"/>
        <w:jc w:val="both"/>
        <w:rPr>
          <w:rFonts w:ascii="Times New Roman" w:hAnsi="Times New Roman" w:cs="Times New Roman"/>
          <w:sz w:val="24"/>
        </w:rPr>
      </w:pPr>
    </w:p>
    <w:p w14:paraId="7FB310BC" w14:textId="77777777" w:rsidR="007E7510" w:rsidRDefault="007E7510">
      <w:pPr>
        <w:ind w:left="2410"/>
        <w:jc w:val="both"/>
        <w:rPr>
          <w:rFonts w:ascii="Times New Roman" w:hAnsi="Times New Roman" w:cs="Times New Roman"/>
          <w:sz w:val="24"/>
        </w:rPr>
      </w:pPr>
    </w:p>
    <w:p w14:paraId="1C05C79F" w14:textId="10B50D8B" w:rsidR="007E7510" w:rsidRDefault="002E6EC9">
      <w:pPr>
        <w:pStyle w:val="P68B1DB1-Normale4"/>
        <w:ind w:left="2410"/>
        <w:jc w:val="both"/>
      </w:pPr>
      <w:r>
        <w:t>« L’intervention publique joue un rôle stratégique », a expliqué Mariateresa Maschio, « à la fois parce qu’elle soutient les exploitations agricoles dans une phase peu propice aux investissements dans des machines de pointe, et parce qu’el</w:t>
      </w:r>
      <w:r>
        <w:t>le stimule l’attention portée à l’innovation et à la modernisation progressive du parc de machines selon des standards plus sévères ». Dans cette optique, le salon EIMA représente le lieu idéal non seulement pour explorer de nouvelles opportunités commerci</w:t>
      </w:r>
      <w:r>
        <w:t>ales, mais aussi pour élaborer des politiques spécifiques de soutien à l’industrie du secteur, de subventions pour le marché et d’accès aux contextes commerciaux les plus prometteurs.</w:t>
      </w:r>
    </w:p>
    <w:p w14:paraId="30A8708D" w14:textId="3D81068C" w:rsidR="007E7510" w:rsidRDefault="002E6EC9">
      <w:pPr>
        <w:pStyle w:val="P68B1DB1-Normale5"/>
        <w:pBdr>
          <w:top w:val="nil"/>
          <w:left w:val="nil"/>
          <w:bottom w:val="nil"/>
          <w:right w:val="nil"/>
          <w:between w:val="nil"/>
          <w:bar w:val="nil"/>
        </w:pBdr>
        <w:spacing w:line="240" w:lineRule="auto"/>
        <w:ind w:left="1702" w:right="-285" w:firstLine="708"/>
        <w:jc w:val="both"/>
      </w:pPr>
      <w:r>
        <w:t>Rome, le 13 octobre 2026</w:t>
      </w:r>
    </w:p>
    <w:p w14:paraId="306CDB78" w14:textId="77777777" w:rsidR="007E7510" w:rsidRDefault="007E7510">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sz w:val="24"/>
        </w:rPr>
      </w:pPr>
    </w:p>
    <w:p w14:paraId="4E91E4F7" w14:textId="63DFE8C7" w:rsidR="007E7510" w:rsidRDefault="002E6EC9">
      <w:pPr>
        <w:pStyle w:val="P68B1DB1-Normale5"/>
        <w:pBdr>
          <w:top w:val="nil"/>
          <w:left w:val="nil"/>
          <w:bottom w:val="nil"/>
          <w:right w:val="nil"/>
          <w:between w:val="nil"/>
          <w:bar w:val="nil"/>
        </w:pBdr>
        <w:spacing w:line="240" w:lineRule="auto"/>
        <w:ind w:left="1702" w:right="-285" w:firstLine="708"/>
        <w:jc w:val="both"/>
      </w:pPr>
      <w:r>
        <w:rPr>
          <w:noProof/>
        </w:rPr>
        <w:drawing>
          <wp:inline distT="0" distB="0" distL="0" distR="0" wp14:anchorId="060254D9" wp14:editId="59760AC6">
            <wp:extent cx="4691062" cy="3785752"/>
            <wp:effectExtent l="0" t="0" r="0" b="5715"/>
            <wp:docPr id="9512318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09406" cy="3800556"/>
                    </a:xfrm>
                    <a:prstGeom prst="rect">
                      <a:avLst/>
                    </a:prstGeom>
                    <a:noFill/>
                    <a:ln>
                      <a:noFill/>
                    </a:ln>
                  </pic:spPr>
                </pic:pic>
              </a:graphicData>
            </a:graphic>
          </wp:inline>
        </w:drawing>
      </w:r>
    </w:p>
    <w:sectPr w:rsidR="007E7510">
      <w:headerReference w:type="default" r:id="rId7"/>
      <w:footerReference w:type="default" r:id="rId8"/>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B1AE43" w14:textId="77777777" w:rsidR="002E6EC9" w:rsidRDefault="002E6EC9">
      <w:pPr>
        <w:spacing w:after="0" w:line="240" w:lineRule="auto"/>
      </w:pPr>
      <w:r>
        <w:separator/>
      </w:r>
    </w:p>
  </w:endnote>
  <w:endnote w:type="continuationSeparator" w:id="0">
    <w:p w14:paraId="0D3FFEE4" w14:textId="77777777" w:rsidR="002E6EC9" w:rsidRDefault="002E6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5371124"/>
      <w:docPartObj>
        <w:docPartGallery w:val="Page Numbers (Bottom of Page)"/>
        <w:docPartUnique/>
      </w:docPartObj>
    </w:sdtPr>
    <w:sdtEndPr/>
    <w:sdtContent>
      <w:p w14:paraId="2C424ECB" w14:textId="77777777" w:rsidR="007E7510" w:rsidRDefault="002E6EC9">
        <w:pPr>
          <w:pStyle w:val="Pidipagina"/>
          <w:jc w:val="right"/>
        </w:pPr>
        <w:r>
          <w:fldChar w:fldCharType="begin"/>
        </w:r>
        <w:r>
          <w:instrText>PAGE   \* MERGEFORMAT</w:instrText>
        </w:r>
        <w:r>
          <w:fldChar w:fldCharType="separate"/>
        </w:r>
        <w:r>
          <w:t>1</w:t>
        </w:r>
        <w:r>
          <w:fldChar w:fldCharType="end"/>
        </w:r>
      </w:p>
    </w:sdtContent>
  </w:sdt>
  <w:p w14:paraId="06D59EA9" w14:textId="6CAA89ED" w:rsidR="007E7510" w:rsidRDefault="007E751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516CCE" w14:textId="77777777" w:rsidR="002E6EC9" w:rsidRDefault="002E6EC9">
      <w:pPr>
        <w:spacing w:after="0" w:line="240" w:lineRule="auto"/>
      </w:pPr>
      <w:r>
        <w:separator/>
      </w:r>
    </w:p>
  </w:footnote>
  <w:footnote w:type="continuationSeparator" w:id="0">
    <w:p w14:paraId="12F68C05" w14:textId="77777777" w:rsidR="002E6EC9" w:rsidRDefault="002E6E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1A9A9" w14:textId="657A40E8" w:rsidR="007E7510" w:rsidRDefault="002E6EC9">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32732"/>
    <w:rsid w:val="00077B9F"/>
    <w:rsid w:val="000859E7"/>
    <w:rsid w:val="000A6A98"/>
    <w:rsid w:val="000C4409"/>
    <w:rsid w:val="000D6EA3"/>
    <w:rsid w:val="000E0195"/>
    <w:rsid w:val="000E53AF"/>
    <w:rsid w:val="00117F0C"/>
    <w:rsid w:val="00132537"/>
    <w:rsid w:val="00150E3E"/>
    <w:rsid w:val="001A523F"/>
    <w:rsid w:val="002058DE"/>
    <w:rsid w:val="00212BEB"/>
    <w:rsid w:val="002432BE"/>
    <w:rsid w:val="00275B9C"/>
    <w:rsid w:val="002803A2"/>
    <w:rsid w:val="00282300"/>
    <w:rsid w:val="00291A0E"/>
    <w:rsid w:val="002949D3"/>
    <w:rsid w:val="00297040"/>
    <w:rsid w:val="002A2E24"/>
    <w:rsid w:val="002A2E57"/>
    <w:rsid w:val="002B2D86"/>
    <w:rsid w:val="002D4418"/>
    <w:rsid w:val="002E6EC9"/>
    <w:rsid w:val="002F0D75"/>
    <w:rsid w:val="00302C23"/>
    <w:rsid w:val="0030445C"/>
    <w:rsid w:val="00310B45"/>
    <w:rsid w:val="00323399"/>
    <w:rsid w:val="00335B2C"/>
    <w:rsid w:val="0035717D"/>
    <w:rsid w:val="00357578"/>
    <w:rsid w:val="003668B9"/>
    <w:rsid w:val="00394530"/>
    <w:rsid w:val="003F12A8"/>
    <w:rsid w:val="003F2E5D"/>
    <w:rsid w:val="003F6C78"/>
    <w:rsid w:val="0043541E"/>
    <w:rsid w:val="004379F0"/>
    <w:rsid w:val="00446399"/>
    <w:rsid w:val="00476F56"/>
    <w:rsid w:val="004B341F"/>
    <w:rsid w:val="004C655C"/>
    <w:rsid w:val="004E39DD"/>
    <w:rsid w:val="00504AB8"/>
    <w:rsid w:val="005133FD"/>
    <w:rsid w:val="0051366D"/>
    <w:rsid w:val="00590319"/>
    <w:rsid w:val="005A064D"/>
    <w:rsid w:val="005A31FE"/>
    <w:rsid w:val="005B1DD8"/>
    <w:rsid w:val="005D3F28"/>
    <w:rsid w:val="005E2554"/>
    <w:rsid w:val="005F2D34"/>
    <w:rsid w:val="0060610C"/>
    <w:rsid w:val="00614574"/>
    <w:rsid w:val="00677303"/>
    <w:rsid w:val="006913A7"/>
    <w:rsid w:val="00692D3D"/>
    <w:rsid w:val="006974BC"/>
    <w:rsid w:val="006A1669"/>
    <w:rsid w:val="006B135F"/>
    <w:rsid w:val="006B1EEB"/>
    <w:rsid w:val="006D5E48"/>
    <w:rsid w:val="007048B0"/>
    <w:rsid w:val="00735BD4"/>
    <w:rsid w:val="00757C34"/>
    <w:rsid w:val="00762BA7"/>
    <w:rsid w:val="007C6548"/>
    <w:rsid w:val="007C69C9"/>
    <w:rsid w:val="007D332B"/>
    <w:rsid w:val="007E3772"/>
    <w:rsid w:val="007E62E6"/>
    <w:rsid w:val="007E7510"/>
    <w:rsid w:val="007F0349"/>
    <w:rsid w:val="00801B1D"/>
    <w:rsid w:val="0080268E"/>
    <w:rsid w:val="00834C87"/>
    <w:rsid w:val="00835DB7"/>
    <w:rsid w:val="008441A6"/>
    <w:rsid w:val="00855BA5"/>
    <w:rsid w:val="00870E2F"/>
    <w:rsid w:val="0087110F"/>
    <w:rsid w:val="00884CA8"/>
    <w:rsid w:val="008B3A42"/>
    <w:rsid w:val="009066B1"/>
    <w:rsid w:val="009130D7"/>
    <w:rsid w:val="00920778"/>
    <w:rsid w:val="0092110D"/>
    <w:rsid w:val="00931EDF"/>
    <w:rsid w:val="0093445D"/>
    <w:rsid w:val="00935306"/>
    <w:rsid w:val="0094410D"/>
    <w:rsid w:val="009766F1"/>
    <w:rsid w:val="00977697"/>
    <w:rsid w:val="00992D09"/>
    <w:rsid w:val="009934BB"/>
    <w:rsid w:val="00993B7D"/>
    <w:rsid w:val="00995E10"/>
    <w:rsid w:val="00995FE3"/>
    <w:rsid w:val="009C0530"/>
    <w:rsid w:val="009F4CC8"/>
    <w:rsid w:val="009F5A38"/>
    <w:rsid w:val="00A21F2E"/>
    <w:rsid w:val="00A67752"/>
    <w:rsid w:val="00A716A1"/>
    <w:rsid w:val="00A773E1"/>
    <w:rsid w:val="00A85568"/>
    <w:rsid w:val="00A90659"/>
    <w:rsid w:val="00AE4288"/>
    <w:rsid w:val="00AF2708"/>
    <w:rsid w:val="00AF3D84"/>
    <w:rsid w:val="00B15B8C"/>
    <w:rsid w:val="00B16D1F"/>
    <w:rsid w:val="00B32A20"/>
    <w:rsid w:val="00B37CFC"/>
    <w:rsid w:val="00B4269B"/>
    <w:rsid w:val="00B45D9E"/>
    <w:rsid w:val="00B748EC"/>
    <w:rsid w:val="00B91114"/>
    <w:rsid w:val="00BC08A6"/>
    <w:rsid w:val="00BC65DE"/>
    <w:rsid w:val="00BD5EB0"/>
    <w:rsid w:val="00BE5595"/>
    <w:rsid w:val="00BF3FAB"/>
    <w:rsid w:val="00C165B3"/>
    <w:rsid w:val="00C25B69"/>
    <w:rsid w:val="00C310D4"/>
    <w:rsid w:val="00C823A0"/>
    <w:rsid w:val="00C8332D"/>
    <w:rsid w:val="00C851E2"/>
    <w:rsid w:val="00C921BF"/>
    <w:rsid w:val="00CB63E4"/>
    <w:rsid w:val="00CC36F9"/>
    <w:rsid w:val="00CD0E0F"/>
    <w:rsid w:val="00CD32D5"/>
    <w:rsid w:val="00CD6230"/>
    <w:rsid w:val="00CF1D0B"/>
    <w:rsid w:val="00D16473"/>
    <w:rsid w:val="00D21CAB"/>
    <w:rsid w:val="00D2563B"/>
    <w:rsid w:val="00D368BA"/>
    <w:rsid w:val="00D566E4"/>
    <w:rsid w:val="00D67FCE"/>
    <w:rsid w:val="00D84FB1"/>
    <w:rsid w:val="00DA1F14"/>
    <w:rsid w:val="00DD0832"/>
    <w:rsid w:val="00DD0B6A"/>
    <w:rsid w:val="00E35683"/>
    <w:rsid w:val="00E43E7A"/>
    <w:rsid w:val="00E6169C"/>
    <w:rsid w:val="00E65BDF"/>
    <w:rsid w:val="00E76B0C"/>
    <w:rsid w:val="00E80260"/>
    <w:rsid w:val="00F030A6"/>
    <w:rsid w:val="00F04658"/>
    <w:rsid w:val="00F04861"/>
    <w:rsid w:val="00F142A3"/>
    <w:rsid w:val="00F244D2"/>
    <w:rsid w:val="00F54AC7"/>
    <w:rsid w:val="00FA34C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FB876665-D58F-429C-AE8A-A94D3F8D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rPr>
  </w:style>
  <w:style w:type="character" w:customStyle="1" w:styleId="Titolo4Carattere">
    <w:name w:val="Titolo 4 Carattere"/>
    <w:basedOn w:val="Carpredefinitoparagrafo"/>
    <w:link w:val="Titolo4"/>
    <w:uiPriority w:val="9"/>
    <w:semiHidden/>
    <w:rsid w:val="00DD0832"/>
    <w:rPr>
      <w:rFonts w:eastAsiaTheme="majorEastAsia" w:cstheme="majorBidi"/>
      <w:i/>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kern w:val="28"/>
      <w:sz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kern w:val="28"/>
      <w:sz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z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z w:val="28"/>
    </w:rPr>
  </w:style>
  <w:style w:type="paragraph" w:styleId="Citazione">
    <w:name w:val="Quote"/>
    <w:basedOn w:val="Normale"/>
    <w:next w:val="Normale"/>
    <w:link w:val="CitazioneCarattere"/>
    <w:uiPriority w:val="29"/>
    <w:qFormat/>
    <w:rsid w:val="00DD0832"/>
    <w:pPr>
      <w:spacing w:before="160"/>
      <w:jc w:val="center"/>
    </w:pPr>
    <w:rPr>
      <w:i/>
      <w:color w:val="404040" w:themeColor="text1" w:themeTint="BF"/>
    </w:rPr>
  </w:style>
  <w:style w:type="character" w:customStyle="1" w:styleId="CitazioneCarattere">
    <w:name w:val="Citazione Carattere"/>
    <w:basedOn w:val="Carpredefinitoparagrafo"/>
    <w:link w:val="Citazione"/>
    <w:uiPriority w:val="29"/>
    <w:rsid w:val="00DD0832"/>
    <w:rPr>
      <w:i/>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color w:val="2F5496" w:themeColor="accent1" w:themeShade="BF"/>
    </w:rPr>
  </w:style>
  <w:style w:type="character" w:styleId="Riferimentointenso">
    <w:name w:val="Intense Reference"/>
    <w:basedOn w:val="Carpredefinitoparagrafo"/>
    <w:uiPriority w:val="32"/>
    <w:qFormat/>
    <w:rsid w:val="00DD0832"/>
    <w:rPr>
      <w:b/>
      <w:smallCaps/>
      <w:color w:val="2F5496" w:themeColor="accent1" w:themeShade="BF"/>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 w:type="paragraph" w:customStyle="1" w:styleId="P68B1DB1-Normale1">
    <w:name w:val="P68B1DB1-Normale1"/>
    <w:basedOn w:val="Normale"/>
    <w:rPr>
      <w:rFonts w:ascii="Times New Roman" w:eastAsia="Times New Roman" w:hAnsi="Times New Roman" w:cs="Times New Roman"/>
      <w:i/>
      <w:sz w:val="24"/>
    </w:rPr>
  </w:style>
  <w:style w:type="paragraph" w:customStyle="1" w:styleId="P68B1DB1-Normale2">
    <w:name w:val="P68B1DB1-Normale2"/>
    <w:basedOn w:val="Normale"/>
    <w:rPr>
      <w:rFonts w:ascii="Times New Roman" w:hAnsi="Times New Roman" w:cs="Times New Roman"/>
      <w:b/>
      <w:sz w:val="28"/>
    </w:rPr>
  </w:style>
  <w:style w:type="paragraph" w:customStyle="1" w:styleId="P68B1DB1-Normale3">
    <w:name w:val="P68B1DB1-Normale3"/>
    <w:basedOn w:val="Normale"/>
    <w:rPr>
      <w:rFonts w:ascii="Times New Roman" w:hAnsi="Times New Roman" w:cs="Times New Roman"/>
      <w:b/>
      <w:i/>
      <w:sz w:val="24"/>
    </w:rPr>
  </w:style>
  <w:style w:type="paragraph" w:customStyle="1" w:styleId="P68B1DB1-Normale4">
    <w:name w:val="P68B1DB1-Normale4"/>
    <w:basedOn w:val="Normale"/>
    <w:rPr>
      <w:rFonts w:ascii="Times New Roman" w:hAnsi="Times New Roman" w:cs="Times New Roman"/>
      <w:sz w:val="24"/>
    </w:rPr>
  </w:style>
  <w:style w:type="paragraph" w:customStyle="1" w:styleId="P68B1DB1-Normale5">
    <w:name w:val="P68B1DB1-Normale5"/>
    <w:basedOn w:val="Normale"/>
    <w:rPr>
      <w:rFonts w:ascii="Times New Roman" w:eastAsia="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230313313">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1774663098">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578</Words>
  <Characters>3295</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Rossi</dc:creator>
  <cp:keywords/>
  <dc:description/>
  <cp:lastModifiedBy>User</cp:lastModifiedBy>
  <cp:revision>7</cp:revision>
  <dcterms:created xsi:type="dcterms:W3CDTF">2026-10-12T16:53:00Z</dcterms:created>
  <dcterms:modified xsi:type="dcterms:W3CDTF">2026-10-15T05:50:00Z</dcterms:modified>
</cp:coreProperties>
</file>